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2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OLG Oberlandesgericht Brandenburg an der Havel, Infrastrukturmaßnahmen für innovative Sitzungssaalausstattung, Starkstrom- und informationstechnische 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arkstrom- und informationstechnische 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